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40" w:lineRule="auto"/>
        <w:jc w:val="center"/>
      </w:pPr>
      <w:r>
        <w:rPr>
          <w:rFonts w:ascii="Montserrat" w:hAnsi="Calibri" w:cs="Calibri"/>
          <w:b/>
          <w:color w:val="1A5276"/>
          <w:sz w:val="44"/>
          <w:szCs w:val="44"/>
        </w:rPr>
        <w:t xml:space="preserve">HRTIME</w:t>
      </w:r>
    </w:p>
    <w:p>
      <w:pPr>
        <w:spacing w:before="0" w:after="520" w:line="240" w:lineRule="auto"/>
        <w:jc w:val="center"/>
      </w:pPr>
      <w:r>
        <w:rPr>
          <w:rFonts w:ascii="Montserrat" w:hAnsi="Calibri" w:cs="Calibri"/>
          <w:color w:val="5D6D7E"/>
          <w:sz w:val="18"/>
          <w:szCs w:val="18"/>
        </w:rPr>
        <w:t xml:space="preserve">Zeiterfassung &amp; HR-Software  ·  Made in Germany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GRATIS-ARBEITSVORLAGE</w:t>
      </w:r>
    </w:p>
    <w:p>
      <w:pPr>
        <w:spacing w:before="0" w:after="40" w:line="240" w:lineRule="auto"/>
        <w:jc w:val="center"/>
      </w:pPr>
      <w:r>
        <w:rPr>
          <w:rFonts w:ascii="Montserrat" w:hAnsi="Calibri" w:cs="Calibri"/>
          <w:b/>
          <w:color w:val="0B1933"/>
          <w:sz w:val="40"/>
          <w:szCs w:val="40"/>
        </w:rPr>
        <w:t xml:space="preserve">Elektronische Zeiterfassung einführen</w:t>
      </w:r>
    </w:p>
    <w:p>
      <w:pPr>
        <w:spacing w:before="0" w:after="320" w:line="240" w:lineRule="auto"/>
        <w:jc w:val="center"/>
      </w:pPr>
      <w:r>
        <w:rPr>
          <w:rFonts w:ascii="Montserrat" w:hAnsi="Calibri" w:cs="Calibri"/>
          <w:color w:val="2E86C1"/>
          <w:sz w:val="28"/>
          <w:szCs w:val="28"/>
        </w:rPr>
        <w:t xml:space="preserve">Die Checkliste in 8 Schritten</w:t>
      </w:r>
    </w:p>
    <w:p>
      <w:pPr>
        <w:spacing w:before="0" w:after="80" w:line="240" w:lineRule="auto"/>
        <w:jc w:val="center"/>
      </w:pPr>
      <w:r>
        <w:rPr>
          <w:rFonts w:ascii="Montserrat" w:hAnsi="Calibri" w:cs="Calibri"/>
          <w:b/>
          <w:color w:val="E65100"/>
          <w:sz w:val="24"/>
          <w:szCs w:val="24"/>
        </w:rPr>
        <w:t xml:space="preserve">Variante: Master</w:t>
      </w:r>
    </w:p>
    <w:p>
      <w:pPr>
        <w:spacing w:before="0" w:after="440" w:line="240" w:lineRule="auto"/>
        <w:jc w:val="center"/>
      </w:pPr>
      <w:r>
        <w:rPr>
          <w:rFonts w:ascii="Montserrat" w:hAnsi="Calibri" w:cs="Calibri"/>
          <w:color w:val="5D6D7E"/>
          <w:sz w:val="20"/>
          <w:szCs w:val="20"/>
        </w:rPr>
        <w:t xml:space="preserve">Branchenneutral – für jede Unternehmensgröße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Rechtlicher Rahmen dieser Vorlage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Aufzeichnungspflicht: § 16 Abs. 2 Arbeitszeitgesetz (ArbZG) – Aufzeichnung und mindestens 2 Jahre Aufbewahrung. Grundlage der systematischen Erfassungspflicht: Beschluss des Bundesarbeitsgerichts vom 13. September 2022, Az. 1 ABR 22/21. Mitbestimmung: § 87 Abs. 1 Nr. 6 Betriebsverfassungsgesetz (BetrVG). Datenschutz: Art. 6, 13, 28, 30 und 88 DSGVO in Verbindung mit § 26 Bundesdatenschutzgesetz (BDSG). Arbeitszeitgrenzen, Pausen und Ruhezeit: §§ 3, 4 und 5 ArbZG.</w:t>
      </w:r>
    </w:p>
    <w:p>
      <w:pPr>
        <w:spacing w:before="240" w:after="80" w:line="240" w:lineRule="auto"/>
      </w:pPr>
      <w:r>
        <w:rPr>
          <w:rFonts w:ascii="Montserrat" w:hAnsi="Calibri" w:cs="Calibri"/>
          <w:b/>
          <w:color w:val="1A5276"/>
          <w:sz w:val="22"/>
          <w:szCs w:val="22"/>
        </w:rPr>
        <w:t xml:space="preserve">So arbeiten Sie mit dieser Vorlage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Jedes Kästchen ist eine Aufgabe. Abhaken, sobald sie erledigt und dokumentiert ist.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Tragen Sie in die Übersichtstabelle Verantwortliche und Termine ein, bevor Sie starten.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Reihenfolge einhalten: Der Betriebsrat kommt vor der Systemauswahl, das Datenschutzkonzept vor dem Pilotbetrieb.</w:t>
      </w:r>
    </w:p>
    <w:p>
      <w:pPr>
        <w:ind w:left="260" w:right="0"/>
        <w:spacing w:before="0" w:after="6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•</w:t>
      </w:r>
      <w:r>
        <w:rPr>
          <w:rFonts w:ascii="Montserrat" w:hAnsi="Calibri" w:cs="Calibri"/>
          <w:color w:val=""/>
          <w:sz w:val="20"/>
          <w:szCs w:val="20"/>
        </w:rPr>
        <w:t xml:space="preserve">  Am Ende jedes Schritts steht ein Ergebnisdokument. Ohne dieses Dokument ist der Schritt nicht abgeschlossen.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Projektübersicht: die 8 Schritte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Gesamtdauer eines typischen Einführungsprojekts: 10 bis 18 Wochen. Tragen Sie Verantwortliche und Zieltermine ein, bevor Schritt 1 startet.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3055"/>
        <w:gridCol w:w="1241"/>
        <w:gridCol w:w="1718"/>
        <w:gridCol w:w="1527"/>
        <w:gridCol w:w="152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3055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Dauer</w:t>
            </w:r>
          </w:p>
        </w:tc>
        <w:tc>
          <w:tcPr>
            <w:tcW w:w="171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Verantwortlich</w:t>
            </w:r>
          </w:p>
        </w:tc>
        <w:tc>
          <w:tcPr>
            <w:tcW w:w="15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Termin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Bedarfsanalyse und Ist-Aufnahme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Betriebsrat einbinden (§ 87 BetrVG)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2–4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Anforderungskatalog erstellen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 Woche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Anbieterauswahl und Demo-Phase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2–3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DSGVO-Konzept und Betriebsvereinbarung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6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Pilotbetrieb mit Testgruppe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2–4 Wochen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7</w:t>
            </w:r>
          </w:p>
        </w:tc>
        <w:tc>
          <w:tcPr>
            <w:tcW w:w="3055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Rollout und Mitarbeiterschulung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1–2 Wochen</w:t>
            </w:r>
          </w:p>
        </w:tc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8</w:t>
            </w:r>
          </w:p>
        </w:tc>
        <w:tc>
          <w:tcPr>
            <w:tcW w:w="3055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Nachkontrolle und Optimierung</w:t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laufend</w:t>
            </w:r>
          </w:p>
        </w:tc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Warum die Reihenfolge zählt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Wer die Software vor der Ist-Aufnahme kauft, kauft an den eigenen Prozessen vorbei. Ein bereits unterschriebener Softwarevertrag nimmt Ihnen jeden Verhandlungsspielraum gegenüber dem Betriebsrat.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1 – Bedarfsanalyse und Ist-Aufnahme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Anforderungsdokument mit allen Arbeitszeitmodellen und Sonderfällen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1.1  Ist-Zustand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bestehenden Erfassungsmethoden erfassen (Excel, Papier, Stempeluhr, Insellösungen)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auflisten: Gleitzeit, Schichtarbeit, Teilzeit, Vertrauensarbeitszeit, Rufbereitschaft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Standorte und Abteilungen mit jeweiliger Mitarbeiterzahl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Erfassungsbedarfe klären: Außendienst, Montage, Homeoffice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Pausenregelung nach § 4 ArbZG prüfen – sie muss im neuen System abbildbar sein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notieren: Kurzarbeit, Elternzeit-Teilzeit, Aushilfen, Minijob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Erfassungstabelle für die Ist-Aufnahme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1146"/>
        <w:gridCol w:w="2291"/>
        <w:gridCol w:w="2100"/>
        <w:gridCol w:w="2100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Abteilung</w:t>
            </w:r>
          </w:p>
        </w:tc>
        <w:tc>
          <w:tcPr>
            <w:tcW w:w="114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Mitarbeiter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Aktuelles Verfahren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Arbeitszeitmodell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Schwachstelle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14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1.2  Stakeholder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Projektleitung festlegen – eine Person mit Entscheidungsbefugnis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HR-Verantwortliche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IT-Verantwortliche benennen (Netzwerk, Endgeräte, Schnittstellen)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Betriebsrat als Projektbeteiligten aufnehmen – nicht als späteren Genehmiger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Lohnbuchhaltung einbeziehen (DATEV-Export, Abrechnungstermine)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Ab etwa 200 Mitarbeitern: Lenkungsausschuss mit monatlichem Jour fixe einsetzen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2 – Betriebsrat einbinden (§ 87 Abs. 1 Nr. 6 BetrVG)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2–4 Wochen, mindestens zwei Sitzungstermine  ·  Ergebnis: Eckpunkte abgestimmt und dokumentiert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Pflicht, nicht Option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Elektronische Zeiterfassungssysteme sind technische Einrichtungen, die dazu bestimmt sind, Verhalten oder Leistung der Arbeitnehmer zu überwachen. Die Mitbestimmung nach § 87 Abs. 1 Nr. 6 BetrVG greift auch dann, wenn Sie eine Leistungsüberwachung gar nicht beabsichtigen. Holen Sie die Zustimmung vor der Systemauswahl ein, nicht danach.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2.1  Vorbereitung der ersten Sitzung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Projektziel und Rechtsgrundlage aufbereiten (§ 16 Abs. 2 ArbZG, BAG 1 ABR 22/21)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Klarstellen, dass keine Leistungsbewertung vorgesehen ist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Anforderungskatalog aus Schritt 3 vorab zur Kommentierung übergeben – das verkürzt die Verhandlung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Zeitplan des Projekts offenlegen, inklusive Pilotphase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2.2  Die drei Verhandlungsgegenstände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718"/>
        <w:gridCol w:w="4964"/>
        <w:gridCol w:w="2864"/>
      </w:tblGrid>
      <w:tr>
        <w:trPr>
          <w:tblHeader/>
          <w:cantSplit/>
        </w:trPr>
        <w:tc>
          <w:tcPr>
            <w:tcW w:w="171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Gegenstand</w:t>
            </w:r>
          </w:p>
        </w:tc>
        <w:tc>
          <w:tcPr>
            <w:tcW w:w="49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Zu klärende Fragen</w:t>
            </w:r>
          </w:p>
        </w:tc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Ihr Verhandlungsstand</w:t>
            </w:r>
          </w:p>
        </w:tc>
      </w:tr>
      <w:tr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Zugriffsrechte</w:t>
            </w:r>
          </w:p>
        </w:tc>
        <w:tc>
          <w:tcPr>
            <w:tcW w:w="49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Wer sieht welche Daten? Führungskraft, HR, Geschäftsführung? Sind eigene Daten für Beschäftigte einsehbar?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71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Auswertungen</w:t>
            </w:r>
          </w:p>
        </w:tc>
        <w:tc>
          <w:tcPr>
            <w:tcW w:w="49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Welche Reports sind zulässig? Individuelle Leistungsvergleiche nur mit ausdrücklicher Zustimmung.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71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Löschfristen</w:t>
            </w:r>
          </w:p>
        </w:tc>
        <w:tc>
          <w:tcPr>
            <w:tcW w:w="49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Wie lange werden Daten gespeichert? Minimum 2 Jahre nach § 16 Abs. 2 ArbZG, tariflich bis 5 Jahre möglich.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2.3  Bausteine der Betriebsvereinbarung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Geltungsbereich (räumlich, persönlich, sachlich)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Verarbeitung und ausdrücklicher Ausschluss der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Katalog der erfassten Datenfelder – abschließend, nicht beispielhaft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 als Anlage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Aufbewahrungs- und Löschfristen je Datenfeld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Korrektur- und Eskalationsverfahren bei fehlerhaften Buchungen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Umgang mit Standortdaten bei mobiler Erfassung – Datensparsamkeit ausdrücklich regeln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Verfahren bei Systemausfall und Nachtragsbuchungen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Laufzeit, Kündigungsfrist und Nachwirkung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Unterschriften beider Betriebsparteien mit Datum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Doppelte Funktion der Betriebsvereinbarung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Die Betriebsvereinbarung erfüllt zwei Aufgaben gleichzeitig: Sie ist die mitbestimmungsrechtliche Einigung nach § 87 BetrVG und zugleich die datenschutzrechtliche Rechtsgrundlage nach Art. 88 DSGVO in Verbindung mit § 26 BDSG. Fehlt sie, fehlt beides.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3 – Anforderungskatalog erstellen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 Woche  ·  Ergebnis: gewichtete Kriterienliste mit 20 bis 30 Positionen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Weniger als 15 Kriterien führen zu Fehlentscheidungen, mehr als 40 lähmen den Auswahlprozess. Gewichten Sie jede Position als Muss oder Kann.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3.1  Funktionale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Arbeitszeitmodelle aus Schritt 1 abbildbar (Gleitzeit, Schicht, Teilzeit)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Mobile Erfassung per App, inklusive Offline-Modus bei Netzausfall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Pausenautomatik nach § 4 ArbZG: mindestens 30 Minuten ab 6 Stunden, mindestens 45 Minuten ab 9 Stunden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Prüfung der Ruhezeit von 11 Stunden nach § 5 ArbZG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Warnung bei Überschreitung der Grenzen aus § 3 ArbZG (8 Stunden, Verlängerung auf 10 Stunden)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Arbeitszeitkonten mit Saldierung und Obergrenzen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Urlaubs- und Abwesenheitsverwaltung integriert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Korrekturworkflow mit Freigabe durch die Führungskraft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DATEV-Export für die Lohnbuchhaltung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3.2  Technische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Betriebsmodell festlegen: Cloud oder On-Premise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Deutschland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ISO 27001-Zertifizierung des Rechenzentrums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Single Sign-On-Anbindung an das bestehende Verzeichnis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Schnittstellen zu Lohnbuchhaltung und ERP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Erfassungsgeräte klären: Terminal, Smartphone, Desktop, Ausweisleser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Bedienbarkeit auch für nicht IT-affine Beschäftigte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3.3  Rechtliche Anforderungen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Revisionssichere, manipulationsgeschützte Aufzeichnung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Aufbewahrung mindestens 2 Jahre nach § 16 Abs. 2 ArbZG, konfigurierbar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Automatisierte Löschläufe nach Ablauf der Fristen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 granular einstellbar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Auskunftsfähigkeit für Betroffenenanfragen nach Art. 15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 verfügbar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3.4  Bewertungsmatrix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864"/>
        <w:gridCol w:w="1241"/>
        <w:gridCol w:w="1241"/>
        <w:gridCol w:w="1336"/>
        <w:gridCol w:w="1432"/>
        <w:gridCol w:w="1432"/>
      </w:tblGrid>
      <w:tr>
        <w:trPr>
          <w:tblHeader/>
          <w:cantSplit/>
        </w:trPr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Muss / Kann</w:t>
            </w:r>
          </w:p>
        </w:tc>
        <w:tc>
          <w:tcPr>
            <w:tcW w:w="124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Gewicht 1–5</w:t>
            </w:r>
          </w:p>
        </w:tc>
        <w:tc>
          <w:tcPr>
            <w:tcW w:w="1336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A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B</w:t>
            </w:r>
          </w:p>
        </w:tc>
        <w:tc>
          <w:tcPr>
            <w:tcW w:w="143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Anbieter C</w:t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Summe</w:t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24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336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143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4 – Anbieterauswahl und Demo-Phase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2–3 Wochen  ·  Ergebnis: Shortlist von drei bis fünf Anbietern, bewertet nach Ihrer Matrix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4.1  Die fünf Entscheidungskriterien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77"/>
        <w:gridCol w:w="2291"/>
        <w:gridCol w:w="6778"/>
      </w:tblGrid>
      <w:tr>
        <w:trPr>
          <w:tblHeader/>
          <w:cantSplit/>
        </w:trPr>
        <w:tc>
          <w:tcPr>
            <w:tcW w:w="47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W w:w="677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Worauf Sie achten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1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Individuelle Anpassung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Wird das System an Ihre Prozesse angepasst oder müssen Sie sich an eine starre Standardlösung anpassen?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2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Implementierungsdauer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Von wenigen Tagen bis zu mehreren Monaten – lassen Sie sich die Dauer schriftlich zusichern.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3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Gesamtkosten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36 Monate rechnen: Lizenz, Setup, Schulung, Support, Hardware.</w:t>
            </w:r>
          </w:p>
        </w:tc>
      </w:tr>
      <w:tr>
        <w:tc>
          <w:tcPr>
            <w:tcW w:w="47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4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Serverstandort</w:t>
            </w:r>
          </w:p>
        </w:tc>
        <w:tc>
          <w:tcPr>
            <w:tcW w:w="677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Ein deutsches Rechenzentrum vereinfacht die DSGVO-Konformität erheblich.</w:t>
            </w:r>
          </w:p>
        </w:tc>
      </w:tr>
      <w:tr>
        <w:tc>
          <w:tcPr>
            <w:tcW w:w="47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5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DATEV-Export</w:t>
            </w:r>
          </w:p>
        </w:tc>
        <w:tc>
          <w:tcPr>
            <w:tcW w:w="677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Ohne diese Schnittstelle verdoppelt sich der manuelle Aufwand in der Lohnbuchhaltung.</w:t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4.2  Demo-Termine richtig 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Live-System verlangen – keine Präsentationsfolien, keine aufgezeichnete Tour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Zwei eigene Szenarien mitbringen, zum Beispiel geteilte Schicht und Korrekturbuchung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Sonderfälle aus Schritt 1 vorführen lassen, nicht die Standardpräsentation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Netzausfall simulieren lassen: Was passiert mit Buchungen im Offline-Modus?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Administrationsoberfläche zeigen lassen, nicht nur die Mitarbeiter-App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Betriebsrat zur Demo einladen – das beschleunigt die Zustimmung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Referenzkunden ähnlicher Größe und Branche erfragen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Angebot mit Preisbindung und Leistungsbeschreibung schriftlich einholen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E86C1"/>
          <w:sz w:val="20"/>
          <w:szCs w:val="20"/>
        </w:rPr>
        <w:t xml:space="preserve">Die Frage, die viele vergessen</w:t>
      </w:r>
    </w:p>
    <w:p>
      <w:pPr>
        <w:shd w:val="clear" w:color="auto" w:fill="F8FBFE"/>
        <w:pBdr>
          <w:left w:val="single" w:sz="18" w:space="6" w:color="2E86C1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Was kostet der Ausstieg? Klären Sie vor Vertragsschluss, in welchem Format Sie Ihre Arbeitszeitdaten exportieren können, wenn Sie den Anbieter wechseln. Ein Export ausschließlich als PDF ist kein Export.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5 – DSGVO-Konzept und Betriebsvereinbarung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Ergebnis: Verarbeitungsverzeichnis, Auftragsverarbeitungsvertrag, Informationsblatt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Arbeitszeitdaten sind personenbezogene Daten. Ohne Datenschutzkonzept darf das System nicht produktiv gehen.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5.1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 der Verarbeitung je Datenfeld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Rechtsgrundlage je Datenfeld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Empfänger und Kategorien von Empfängern auflisten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Löschfristen je Datenfeld festlegen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Technische und organisatorische Maßnahmen beschreiben</w:t>
      </w:r>
    </w:p>
    <w:p>
      <w:pPr>
        <w:spacing w:before="200" w:after="80" w:line="240" w:lineRule="auto"/>
      </w:pPr>
      <w:r>
        <w:rPr>
          <w:rFonts w:ascii="Montserrat" w:hAnsi="Calibri" w:cs="Calibri"/>
          <w:b/>
          <w:color w:val="1A5276"/>
          <w:sz w:val="20"/>
          <w:szCs w:val="20"/>
        </w:rPr>
        <w:t xml:space="preserve">Datenfeld-Übersicht als Arbeitsraster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82"/>
        <w:gridCol w:w="2291"/>
        <w:gridCol w:w="2673"/>
        <w:gridCol w:w="2100"/>
      </w:tblGrid>
      <w:tr>
        <w:trPr>
          <w:tblHeader/>
          <w:cantSplit/>
        </w:trPr>
        <w:tc>
          <w:tcPr>
            <w:tcW w:w="2482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Datenfeld</w:t>
            </w:r>
          </w:p>
        </w:tc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Zweck</w:t>
            </w:r>
          </w:p>
        </w:tc>
        <w:tc>
          <w:tcPr>
            <w:tcW w:w="26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Rechtsgrundlage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Löschfrist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Arbeitsbeginn / Arbeitsende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Aufzeichnungspflicht</w:t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Pausenzeiten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Nachweis § 4 ArbZG</w:t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§ 16 Abs. 2 ArbZG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mind. 2 Jahre</w:t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Standortdaten (mobil)</w:t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Korrekturvermerke</w:t>
            </w:r>
          </w:p>
        </w:tc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2482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6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5.2  Auftragsverarbeitung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vor dem Produktivstart abschließen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Serverstandort schriftlich bestätigen lassen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Liste der Subunternehmer einholen und prüfen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Drittstaatentransfer ausschließen oder Garantien nach Kapitel V DSGVO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Zertifizierungen prüfen, insbesondere ISO 27001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Löschung und Rückgabe der Daten bei Vertragsende regeln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5.3  Informationspflicht nach Art. 13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für alle Beschäftigten erstellen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Zweck, Rechtsgrundlage, Speicherdauer und Betroffenenrechte aufführen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Kontakt der Datenschutzbeauftragten angeben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Ausgabe vor dem Go-Live und nachweisbar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Datenschutz-Folgenabschätzung prüfen – bei systematischer Überwachung kann sie nach Art. 35 DSGVO erforderlich sein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6 – Pilotbetrieb mit Testgruppe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2–4 Wochen  ·  Pilotgruppe: 15 bis 30 Mitarbeiter  ·  Ergebnis: Fehlerliste, vollständig abgearbeitet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Starten Sie nicht flächendeckend. Der Pilotbetrieb kostet zwei bis vier Wochen und verhindert einen Fehlstart, der Monate kostet.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6.1  Pilotgruppe zusammenstellen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Repräsentative Auswahl über die gängigen Arbeitszeitmodelle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Bewusst auch skeptische Beschäftigte aufnehmen – sie finden die echten Bedienprobleme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Mindestens eine Führungskraft für den Freigabe-Workflow einbeziehen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6.2  Die vier Testbereiche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4773"/>
        <w:gridCol w:w="2864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W w:w="4773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Testfälle</w:t>
            </w:r>
          </w:p>
        </w:tc>
        <w:tc>
          <w:tcPr>
            <w:tcW w:w="2864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Ergebnis / Nacharbeit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Stempelvorgänge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App im WLAN und Mobilfunk, Terminal-Erkennung, Offline-Modus bei Netzausfall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Pausenautomatik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7-Stunden-Schicht (30 Minuten Pflichtpause) und 9,5-Stunden-Schicht (45 Minuten)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Korrekturworkflow</w:t>
            </w:r>
          </w:p>
        </w:tc>
        <w:tc>
          <w:tcPr>
            <w:tcW w:w="4773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Meldung durch Beschäftigte, Freigabe durch Führungskraft, Eskalationspfad</w:t>
            </w:r>
          </w:p>
        </w:tc>
        <w:tc>
          <w:tcPr>
            <w:tcW w:w="2864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Schnittstellen</w:t>
            </w:r>
          </w:p>
        </w:tc>
        <w:tc>
          <w:tcPr>
            <w:tcW w:w="4773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Übergabe an die Lohnbuchhaltung, DATEV-Export auf Cent-Ebene prüfen</w:t>
            </w:r>
          </w:p>
        </w:tc>
        <w:tc>
          <w:tcPr>
            <w:tcW w:w="2864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6.3  Feedback und Fehlerbehebung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Kurzfragebogen mit 8 bis 10 Fragen an alle Pilotteilnehmer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Jeden Fehler mit Datum, Betroffenem und Schweregrad dokumentieren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Häufige Ursachen prüfen: vergessene Stempelungen, falsche Pausenzuordnung, fehlende Berechtigungen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Alle kritischen Fehler vor dem Rollout beheben lassen – schriftliche Bestätigung des Anbieters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Entscheidung dokumentieren: Freigabe für den Rollout oder Verlängerung der Pilotphase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7 – Rollout und Mitarbeiterschulung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1–2 Wochen  ·  Vorgehen: Abteilungsweise in Wellen von 50 bis 100 Mitarbeitern</w:t>
      </w:r>
    </w:p>
    <w:p>
      <w:pPr>
        <w:spacing w:before="0" w:after="20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Die Schulung ist der kritischste Erfolgsfaktor. Die beste Software scheitert, wenn die Belegschaft sie nicht annimmt.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7.1  Rollout-Planung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Rollout-Reihenfolge festlegen und kommunizieren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Support-Kapazität für die erste Woche je Welle einplanen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Stichtag je Einheit festlegen – kein Parallelbetrieb über Wochen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Altdaten-Übernahme klären: Urlaubsansprüche, bestehende Zeitkonten-Salden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Rückfallebene definieren: Was gilt, wenn das System am Stichtag nicht läuft?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7.2  Die drei Schulungsformate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Präsenzschulung von 30 Minuten je Abteilung mit Live-Demo und Übung am eigenen Gerät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Bebilderte Kurzanleitung auf zwei Seiten als PDF im Intranet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FAQ-Dokument mit den 10 häufigsten Fragen, in der ersten Woche fortgeschrieben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Je Abteilung eine Ansprechperson für Alltagsfragen benennen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Transparent kommunizieren: gesetzliche Pflicht nach § 16 Abs. 2 ArbZG, keine Leistungskontrolle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Schulungsteilnahme dokumentieren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Schritt 8 – Nachkontrolle und Optimierung</w:t>
      </w:r>
    </w:p>
    <w:p>
      <w:pPr>
        <w:spacing w:before="0" w:after="200" w:line="240" w:lineRule="auto"/>
      </w:pPr>
      <w:r>
        <w:rPr>
          <w:rFonts w:ascii="Montserrat" w:hAnsi="Calibri" w:cs="Calibri"/>
          <w:b/>
          <w:color w:val="E65100"/>
          <w:sz w:val="18"/>
          <w:szCs w:val="18"/>
        </w:rPr>
        <w:t xml:space="preserve">Dauer: laufend  ·  Erste Auswertung nach 4 Wochen, Review nach 3 Monaten</w:t>
      </w: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8.1  Die drei Kennzahlen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09"/>
        <w:gridCol w:w="2100"/>
        <w:gridCol w:w="4009"/>
        <w:gridCol w:w="1528"/>
      </w:tblGrid>
      <w:tr>
        <w:trPr>
          <w:tblHeader/>
          <w:cantSplit/>
        </w:trPr>
        <w:tc>
          <w:tcPr>
            <w:tcW w:w="19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Kennzahl</w:t>
            </w:r>
          </w:p>
        </w:tc>
        <w:tc>
          <w:tcPr>
            <w:tcW w:w="2100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Zielwert</w:t>
            </w:r>
          </w:p>
        </w:tc>
        <w:tc>
          <w:tcPr>
            <w:tcW w:w="4009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Was ein schlechter Wert bedeutet</w:t>
            </w:r>
          </w:p>
        </w:tc>
        <w:tc>
          <w:tcPr>
            <w:tcW w:w="15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Ihr Wert</w:t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Stempelquote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über 95 %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Schulungslücke oder unzureichende Bedienbarkeit der App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Korrekturrate</w:t>
            </w:r>
          </w:p>
        </w:tc>
        <w:tc>
          <w:tcPr>
            <w:tcW w:w="2100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unter 5 % pro Woche</w:t>
            </w:r>
          </w:p>
        </w:tc>
        <w:tc>
          <w:tcPr>
            <w:tcW w:w="4009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Systemfehler oder fehlende Pausenautomatik</w:t>
            </w:r>
          </w:p>
        </w:tc>
        <w:tc>
          <w:tcPr>
            <w:tcW w:w="15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  <w:tr>
        <w:tc>
          <w:tcPr>
            <w:tcW w:w="19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Zufriedenheit</w:t>
            </w:r>
          </w:p>
        </w:tc>
        <w:tc>
          <w:tcPr>
            <w:tcW w:w="2100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Pulse-Befragung, 5 Fragen, Skala 1–5</w:t>
            </w:r>
          </w:p>
        </w:tc>
        <w:tc>
          <w:tcPr>
            <w:tcW w:w="4009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Akzeptanzproblem – Ursache im Gespräch klären</w:t>
            </w:r>
          </w:p>
        </w:tc>
        <w:tc>
          <w:tcPr>
            <w:tcW w:w="15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/>
            </w:r>
          </w:p>
        </w:tc>
      </w:tr>
    </w:tbl>
    <w:p>
      <w:pPr>
        <w:spacing w:before="0" w:after="100" w:line="240" w:lineRule="auto"/>
      </w:pPr>
    </w:p>
    <w:p>
      <w:pPr>
        <w:keepNext/>
        <w:spacing w:before="260" w:after="100" w:line="240" w:lineRule="auto"/>
      </w:pPr>
      <w:r>
        <w:rPr>
          <w:rFonts w:ascii="Montserrat" w:hAnsi="Calibri" w:cs="Calibri"/>
          <w:b/>
          <w:color w:val="2E86C1"/>
          <w:sz w:val="23"/>
          <w:szCs w:val="23"/>
        </w:rPr>
        <w:t xml:space="preserve">8.2  Review-Termine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4 Wochen: Kennzahlen erheben und Sofortmaßnahmen ableiten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Nach 3 Monaten: Review mit HR, IT, Betriebsrat und Geschäftsführung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Ergebnisse jedes Reviews schriftlich festhalten und diese Checkliste fortschreiben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Automatische Löschläufe kontrollieren – Aufbewahrung auf Vorrat verstößt gegen die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Änderungen im Regelbetrieb dokumentieren: neue Schichtmodelle, Standorte, geänderte Rollen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27AE60"/>
          <w:sz w:val="20"/>
          <w:szCs w:val="20"/>
        </w:rPr>
        <w:t xml:space="preserve">Ihr Nachweis bei der Betriebsprüfung</w:t>
      </w:r>
    </w:p>
    <w:p>
      <w:pPr>
        <w:shd w:val="clear" w:color="auto" w:fill="F8FBFE"/>
        <w:pBdr>
          <w:left w:val="single" w:sz="18" w:space="6" w:color="27AE6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Die fortgeschriebene Dokumentation ist der schnellste Nachweis, dass Ihr Unternehmen die Aufzeichnungspflicht durchgängig erfüllt hat. Bewahren Sie Betriebsvereinbarung beziehungsweise Regelung, Informationsblatt, Verarbeitungsverzeichnis und Review-Protokolle gemeinsam auf.</w:t>
      </w: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Die drei häufigsten Fehler</w:t>
      </w:r>
    </w:p>
    <w:tbl>
      <w:tblPr>
        <w:tblW w:w="9546" w:type="dxa"/>
        <w:tblLayout w:type="fixed"/>
        <w:tblBorders>
          <w:top w:val="single" w:sz="4" w:space="0" w:color="E5E9EE"/>
          <w:left w:val="single" w:sz="4" w:space="0" w:color="E5E9EE"/>
          <w:bottom w:val="single" w:sz="4" w:space="0" w:color="E5E9EE"/>
          <w:right w:val="single" w:sz="4" w:space="0" w:color="E5E9EE"/>
          <w:insideH w:val="single" w:sz="4" w:space="0" w:color="E5E9EE"/>
          <w:insideV w:val="single" w:sz="4" w:space="0" w:color="E5E9E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91"/>
        <w:gridCol w:w="3627"/>
        <w:gridCol w:w="3628"/>
      </w:tblGrid>
      <w:tr>
        <w:trPr>
          <w:tblHeader/>
          <w:cantSplit/>
        </w:trPr>
        <w:tc>
          <w:tcPr>
            <w:tcW w:w="2291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Fehler</w:t>
            </w:r>
          </w:p>
        </w:tc>
        <w:tc>
          <w:tcPr>
            <w:tcW w:w="3627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Folge</w:t>
            </w:r>
          </w:p>
        </w:tc>
        <w:tc>
          <w:tcPr>
            <w:tcW w:w="3628" w:type="dxa"/>
            <w:shd w:val="clear" w:color="auto" w:fill="1A5276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FFFFFF"/>
                <w:sz w:val="18"/>
                <w:szCs w:val="18"/>
              </w:rPr>
              <w:t xml:space="preserve">Vermeidung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Betriebsrat zu spät eingebunden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Widerspruch, Nachverhandlung, Projektverzögerung um Wochen bis Monate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Mitbestimmung als Projektschritt einplanen – vor der Systemauswahl</w:t>
            </w:r>
          </w:p>
        </w:tc>
      </w:tr>
      <w:tr>
        <w:tc>
          <w:tcPr>
            <w:tcW w:w="2291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Kein Datenschutzkonzept vor dem Start</w:t>
            </w:r>
          </w:p>
        </w:tc>
        <w:tc>
          <w:tcPr>
            <w:tcW w:w="3627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Rechtlich ungesicherter Betrieb; im Prüffall Abschaltung bis zur Nachbesserung</w:t>
            </w:r>
          </w:p>
        </w:tc>
        <w:tc>
          <w:tcPr>
            <w:tcW w:w="3628" w:type="dxa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Verarbeitungsverzeichnis, Auftragsverarbeitungsvertrag und Informationsblatt vor dem Produktivstart</w:t>
            </w:r>
          </w:p>
        </w:tc>
      </w:tr>
      <w:tr>
        <w:tc>
          <w:tcPr>
            <w:tcW w:w="2291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b/>
                <w:color w:val="0B1933"/>
                <w:sz w:val="18"/>
                <w:szCs w:val="18"/>
              </w:rPr>
              <w:t xml:space="preserve">Flächendeckender Start ohne Pilotbetrieb</w:t>
            </w:r>
          </w:p>
        </w:tc>
        <w:tc>
          <w:tcPr>
            <w:tcW w:w="3627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Hohe Korrekturrate in den ersten Wochen, Frust und Ablehnung</w:t>
            </w:r>
          </w:p>
        </w:tc>
        <w:tc>
          <w:tcPr>
            <w:tcW w:w="3628" w:type="dxa"/>
            <w:shd w:val="clear" w:color="auto" w:fill="F8FBFE"/>
            <w:vAlign w:val="top"/>
          </w:tcPr>
          <w:p>
            <w:pPr>
              <w:spacing w:before="40" w:after="40" w:line="240" w:lineRule="auto"/>
            </w:pPr>
            <w:r>
              <w:rPr>
                <w:rFonts w:ascii="Montserrat" w:hAnsi="Calibri" w:cs="Calibri"/>
                <w:color w:val="0B1933"/>
                <w:sz w:val="18"/>
                <w:szCs w:val="18"/>
              </w:rPr>
              <w:t xml:space="preserve">Zwei bis vier Wochen Pilotbetrieb mit repräsentativer Gruppe</w:t>
            </w:r>
          </w:p>
        </w:tc>
      </w:tr>
    </w:tbl>
    <w:p>
      <w:pPr>
        <w:spacing w:before="0" w:after="100" w:line="240" w:lineRule="auto"/>
      </w:pPr>
    </w:p>
    <w:p>
      <w:pPr>
        <w:keepNext/>
        <w:pBdr>
          <w:bottom w:val="single" w:sz="8" w:space="3" w:color="E65100"/>
        </w:pBdr>
        <w:spacing w:before="320" w:after="160" w:line="240" w:lineRule="auto"/>
      </w:pPr>
      <w:r>
        <w:rPr>
          <w:rFonts w:ascii="Montserrat" w:hAnsi="Calibri" w:cs="Calibri"/>
          <w:b/>
          <w:color w:val="1A5276"/>
          <w:sz w:val="30"/>
          <w:szCs w:val="30"/>
        </w:rPr>
        <w:t xml:space="preserve">Projektabschluss</w:t>
      </w:r>
    </w:p>
    <w:p>
      <w:pPr>
        <w:spacing w:before="0" w:after="160" w:line="240" w:lineRule="auto"/>
      </w:pPr>
      <w:r>
        <w:rPr>
          <w:rFonts w:ascii="Montserrat" w:hAnsi="Calibri" w:cs="Calibri"/>
          <w:color w:val="0B1933"/>
          <w:sz w:val="20"/>
          <w:szCs w:val="20"/>
        </w:rPr>
        <w:t xml:space="preserve">Das Projekt ist abgeschlossen, wenn diese Unterlagen vollständig vorliegen: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Anforderungsdokument aus der Bedarfsanalyse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Unterzeichnete Betriebsvereinbarung mit Anlagen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Bewertete Anbietermatrix und Vertragsunterlagen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Verarbeitungsverzeichnis nach Art. 30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Auftragsverarbeitungsvertrag nach Art. 28 DSGVO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Informationsblatt nach Art. 13 DSGVO mit Ausgabenachweis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Rollen- und Berechtigungskonzept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Pilotbericht mit abgearbeiteter Fehlerliste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Schulungsunterlagen und Teilnahmenachweise</w:t>
      </w:r>
    </w:p>
    <w:p>
      <w:pPr>
        <w:ind w:left="260" w:right="0"/>
        <w:spacing w:before="0" w:after="60" w:line="240" w:lineRule="auto"/>
      </w:pPr>
      <w:r>
        <w:rPr>
          <w:rFonts w:ascii="Wingdings" w:hAnsi="Wingdings" w:cs="Wingdings"/>
          <w:color w:val="E65100"/>
          <w:sz w:val="22"/>
          <w:szCs w:val="22"/>
        </w:rPr>
        <w:t xml:space="preserve">q</w:t>
      </w:r>
      <w:r>
        <w:rPr>
          <w:rFonts w:ascii="Montserrat" w:hAnsi="Calibri" w:cs="Calibri"/>
          <w:color w:val=""/>
          <w:sz w:val="20"/>
          <w:szCs w:val="20"/>
        </w:rPr>
        <w:t xml:space="preserve">  Erstes Kennzahlen-Review nach 4 Wochen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200" w:after="40" w:line="240" w:lineRule="auto"/>
      </w:pPr>
      <w:r>
        <w:rPr>
          <w:rFonts w:ascii="Montserrat" w:hAnsi="Calibri" w:cs="Calibri"/>
          <w:b/>
          <w:color w:val="E65100"/>
          <w:sz w:val="20"/>
          <w:szCs w:val="20"/>
        </w:rPr>
        <w:t xml:space="preserve">Zeiterfassung mit HRTime</w:t>
      </w:r>
    </w:p>
    <w:p>
      <w:pPr>
        <w:shd w:val="clear" w:color="auto" w:fill="FFF7EE"/>
        <w:pBdr>
          <w:left w:val="single" w:sz="18" w:space="6" w:color="E65100"/>
        </w:pBdr>
        <w:ind w:left="120" w:right="120"/>
        <w:spacing w:before="0" w:after="240" w:line="240" w:lineRule="auto"/>
      </w:pPr>
      <w:r>
        <w:rPr>
          <w:rFonts w:ascii="Montserrat" w:hAnsi="Calibri" w:cs="Calibri"/>
          <w:color w:val=""/>
          <w:sz w:val="19"/>
          <w:szCs w:val="19"/>
        </w:rPr>
        <w:t xml:space="preserve">HRTime ist eine individuell angepasste Zeiterfassungs- und HR-Software aus Deutschland – kein Standardprodukt. Über 250 Unternehmen setzen HRTime ein. Setup in 48 Stunden, deutsches Rechenzentrum mit ISO 27001-Zertifizierung, DATEV-Export inklusive, ab 4,50 Euro pro Mitarbeiter und Monat. Der Einstieg läuft über eine 45-minütige Demo-Session: www.hrtime.de/anfrage-formular/</w:t>
      </w:r>
    </w:p>
    <w:p>
      <w:pPr>
        <w:spacing w:before="320" w:after="120" w:line="240" w:lineRule="auto"/>
      </w:pPr>
      <w:r>
        <w:rPr>
          <w:rFonts w:ascii="Montserrat" w:hAnsi="Calibri" w:cs="Calibri"/>
          <w:i/>
          <w:color w:val="5D6D7E"/>
          <w:sz w:val="17"/>
          <w:szCs w:val="17"/>
        </w:rPr>
        <w:t xml:space="preserve">Rechtlicher Hinweis: Diese Arbeitsvorlage zur Einführung einer elektronischen Zeiterfassung dient der allgemeinen Orientierung im Projektverlauf und ersetzt keine individuelle Rechtsberatung zu Betriebsvereinbarungen, Datenschutzkonzepten oder arbeitsrechtlichen Pflichten. Rechtsstand der genannten Vorschriften und Werte: 2026. Prüfen Sie tarifliche und betriebliche Besonderheiten Ihres Unternehmens gesondert.</w:t>
      </w:r>
    </w:p>
    <w:sectPr>
      <w:headerReference r:id="rId10" w:type="default"/>
      <w:footerReference r:id="rId11" w:type="default"/>
      <w:pgSz w:w="11906" w:h="16838"/>
      <w:pgMar w:top="1240" w:right="1120" w:bottom="1120" w:left="1240" w:header="680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jc w:val="center"/>
    </w:pPr>
    <w:r>
      <w:rPr>
        <w:rFonts w:ascii="Montserrat" w:hAnsi="Calibri" w:cs="Calibri"/>
        <w:color w:val="5D6D7E"/>
        <w:sz w:val="16"/>
        <w:szCs w:val="16"/>
      </w:rPr>
      <w:t xml:space="preserve">© HRTime Software GmbH 2026  ·  www.hrtime.de  ·  Stand 2026  ·  Seite </w:t>
    </w:r>
    <w:fldSimple w:instr=" PAGE ">
      <w:r>
        <w:rPr>
          <w:rFonts w:ascii="Montserrat" w:hAnsi="Calibri"/>
          <w:color w:val="5D6D7E"/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8" w:space="3" w:color="E65100"/>
      </w:pBdr>
      <w:spacing w:before="0" w:after="0" w:line="240" w:lineRule="auto"/>
      <w:jc w:val="right"/>
    </w:pPr>
    <w:r>
      <w:rPr>
        <w:rFonts w:ascii="Montserrat" w:hAnsi="Calibri" w:cs="Calibri"/>
        <w:b/>
        <w:color w:val="5D6D7E"/>
        <w:sz w:val="16"/>
        <w:szCs w:val="16"/>
      </w:rPr>
      <w:t xml:space="preserve">HRTime  |  Elektronische Zeiterfassung einführen – Master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Montserrat" w:hAnsi="Calibri" w:eastAsia="Calibri" w:cs="Calibri"/>
        <w:color w:val="0B1933"/>
        <w:sz w:val="20"/>
        <w:szCs w:val="20"/>
        <w:lang w:val="de-DE"/>
      </w:rPr>
    </w:rPrDefault>
    <w:pPrDefault>
      <w:pPr>
        <w:spacing w:after="12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HRTime Vorlagengenerator</Application>
  <Company>HRTime Software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Elektronische Zeiterfassung einführen – Checkliste (Master)</dc:title>
  <dc:subject>8-Schritte-Checkliste nach § 16 Abs. 2 ArbZG, Stand 2026</dc:subject>
  <dc:creator>HRTime Software GmbH</dc:creator>
  <cp:keywords>Zeiterfassung, ArbZG, Checkliste, Einführung, DSGVO, Betriebsrat</cp:keywords>
  <cp:lastModifiedBy>HRTime Software GmbH</cp:lastModifiedBy>
</cp:coreProperties>
</file>